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AD4AB7" w:rsidRPr="00AD4AB7" w:rsidRDefault="00AD4AB7" w:rsidP="00AD4AB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D4AB7">
        <w:rPr>
          <w:b/>
          <w:bCs/>
          <w:color w:val="333333"/>
          <w:sz w:val="28"/>
          <w:szCs w:val="28"/>
        </w:rPr>
        <w:t>О ремонте и содержании контейнерной площадки</w:t>
      </w:r>
    </w:p>
    <w:bookmarkEnd w:id="0"/>
    <w:p w:rsidR="00AD4AB7" w:rsidRPr="00AD4AB7" w:rsidRDefault="00AD4AB7" w:rsidP="00AD4AB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D4AB7">
        <w:rPr>
          <w:color w:val="000000"/>
          <w:sz w:val="28"/>
          <w:szCs w:val="28"/>
        </w:rPr>
        <w:t> </w:t>
      </w:r>
      <w:proofErr w:type="spellStart"/>
      <w:r w:rsidRPr="00AD4AB7">
        <w:rPr>
          <w:color w:val="FFFFFF"/>
          <w:sz w:val="28"/>
          <w:szCs w:val="28"/>
        </w:rPr>
        <w:t>Текстоделиться</w:t>
      </w:r>
      <w:proofErr w:type="spellEnd"/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Накопление, сбор, транспортирование, обработка, утилизация, обезвреживание, захоронение твердых коммунальных отходов (далее – ТКО)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Работы по содержанию мест (площадок) накопления ТКО включают в себя их обслуживание (покраска, ремонт) и санитарную очистку (подметание мусора вокруг площадки).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Собственники помещений в многоквартирном доме несут бремя расходов на содержание общего имущества в дома. Содержание общего имущества включает в себя в том числе содержание мест накопления ТКО.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Таким образом, обязанность по содержанию площадок накопления ТКО, контейнеров, расположенных на земельных участках, входящих в общедомовое имущество, лежит на собственниках помещений или лицах, осуществляющих управление многоквартирным домом.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При этом уборка мест погрузки ТКО (действия по подбору оброненных или просыпавшихся при погрузке ТКО) является обязанностью регионального оператора.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B97E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2020-12-28T18:14:00Z</dcterms:created>
  <dcterms:modified xsi:type="dcterms:W3CDTF">2020-12-28T18:14:00Z</dcterms:modified>
</cp:coreProperties>
</file>